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after="0" w:lineRule="auto" w:line="480"/>
        <w:jc w:val="center"/>
        <w:contextualSpacing/>
        <w:rPr>
          <w:rStyle w:val="style4101"/>
          <w:rFonts w:eastAsia="Calibri"/>
        </w:rPr>
      </w:pPr>
      <w:r>
        <w:rPr>
          <w:rStyle w:val="style4101"/>
          <w:rFonts w:eastAsia="Calibri"/>
        </w:rPr>
        <w:t>The Ninth Wave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 Number and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Instructor 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480"/>
        <w:jc w:val="center"/>
        <w:rPr>
          <w:rStyle w:val="style4101"/>
          <w:rFonts w:eastAsia="Calibri"/>
        </w:rPr>
      </w:pPr>
      <w:r>
        <w:rPr>
          <w:rStyle w:val="style4101"/>
          <w:rFonts w:eastAsia="Calibri"/>
        </w:rPr>
        <w:t>The Ninth Wave</w:t>
      </w:r>
    </w:p>
    <w:p>
      <w:pPr>
        <w:pStyle w:val="style0"/>
        <w:spacing w:lineRule="auto" w:line="480"/>
        <w:ind w:firstLine="720"/>
        <w:rPr>
          <w:rStyle w:val="style4101"/>
          <w:rFonts w:eastAsia="Calibri"/>
        </w:rPr>
      </w:pPr>
      <w:r>
        <w:rPr>
          <w:rStyle w:val="style4101"/>
          <w:rFonts w:eastAsia="Calibri"/>
        </w:rPr>
        <w:t xml:space="preserve">Fashioned in </w:t>
      </w:r>
      <w:bookmarkStart w:id="0" w:name="_Hlk55134152"/>
      <w:r>
        <w:rPr>
          <w:rStyle w:val="style4101"/>
          <w:rFonts w:eastAsia="Calibri"/>
        </w:rPr>
        <w:t>1850</w:t>
      </w:r>
      <w:bookmarkEnd w:id="0"/>
      <w:r>
        <w:rPr>
          <w:rStyle w:val="style4101"/>
          <w:rFonts w:eastAsia="Calibri"/>
        </w:rPr>
        <w:t xml:space="preserve">, the </w:t>
      </w:r>
      <w:r>
        <w:rPr>
          <w:rStyle w:val="style4101"/>
          <w:rFonts w:eastAsia="Calibri"/>
          <w:i/>
          <w:iCs/>
        </w:rPr>
        <w:t>Ninth Wave</w:t>
      </w:r>
      <w:r>
        <w:rPr>
          <w:rStyle w:val="style4101"/>
          <w:rFonts w:eastAsia="Calibri"/>
        </w:rPr>
        <w:t xml:space="preserve"> is</w:t>
      </w:r>
      <w:r>
        <w:rPr>
          <w:rStyle w:val="style4101"/>
          <w:rFonts w:eastAsia="Calibri"/>
        </w:rPr>
        <w:t xml:space="preserve"> a </w:t>
      </w:r>
      <w:r>
        <w:rPr>
          <w:rStyle w:val="style4101"/>
          <w:rFonts w:eastAsia="Calibri"/>
        </w:rPr>
        <w:t xml:space="preserve">Russian romantic oil painting created by Ivan </w:t>
      </w:r>
      <w:r>
        <w:rPr>
          <w:rStyle w:val="style4101"/>
          <w:rFonts w:eastAsia="Calibri"/>
        </w:rPr>
        <w:t>Aivazovsky</w:t>
      </w:r>
      <w:r>
        <w:rPr>
          <w:rStyle w:val="style4101"/>
          <w:rFonts w:eastAsia="Calibri"/>
        </w:rPr>
        <w:t xml:space="preserve">. The image is on canvas paintings with </w:t>
      </w:r>
      <w:r>
        <w:rPr>
          <w:rStyle w:val="style4101"/>
          <w:rFonts w:eastAsia="Calibri"/>
        </w:rPr>
        <w:t>The State Russian Museum</w:t>
      </w:r>
      <w:r>
        <w:rPr>
          <w:rStyle w:val="style4101"/>
          <w:rFonts w:eastAsia="Calibri"/>
        </w:rPr>
        <w:t xml:space="preserve"> being its site of placement. T</w:t>
      </w:r>
      <w:r>
        <w:rPr>
          <w:rStyle w:val="style4101"/>
          <w:rFonts w:eastAsia="Calibri"/>
        </w:rPr>
        <w:t xml:space="preserve">he </w:t>
      </w:r>
      <w:r>
        <w:rPr>
          <w:rStyle w:val="style4101"/>
          <w:rFonts w:eastAsia="Calibri"/>
          <w:i/>
          <w:iCs/>
        </w:rPr>
        <w:t>Ninth Wave</w:t>
      </w:r>
      <w:r>
        <w:rPr>
          <w:rStyle w:val="style4101"/>
          <w:rFonts w:eastAsia="Calibri"/>
          <w:i/>
          <w:iCs/>
        </w:rPr>
        <w:t xml:space="preserve"> </w:t>
      </w:r>
      <w:r>
        <w:rPr>
          <w:rStyle w:val="style4101"/>
          <w:rFonts w:eastAsia="Calibri"/>
        </w:rPr>
        <w:t xml:space="preserve">is one of the masterpiece artistic works that gave </w:t>
      </w:r>
      <w:r>
        <w:rPr>
          <w:rStyle w:val="style4101"/>
          <w:rFonts w:eastAsia="Calibri"/>
        </w:rPr>
        <w:t>Aivazovsky</w:t>
      </w:r>
      <w:r>
        <w:rPr>
          <w:rStyle w:val="style4101"/>
          <w:rFonts w:eastAsia="Calibri"/>
        </w:rPr>
        <w:t xml:space="preserve"> the international artist’s recognition</w:t>
      </w:r>
      <w:r>
        <w:rPr>
          <w:rStyle w:val="style4101"/>
          <w:rFonts w:eastAsia="Calibri"/>
        </w:rPr>
        <w:t xml:space="preserve"> </w:t>
      </w:r>
      <w:r>
        <w:rPr>
          <w:rStyle w:val="style4101"/>
          <w:rFonts w:eastAsia="Calibri"/>
        </w:rPr>
        <w:t>(</w:t>
      </w:r>
      <w:r>
        <w:rPr>
          <w:rStyle w:val="style4101"/>
          <w:rFonts w:eastAsia="Calibri"/>
        </w:rPr>
        <w:t>Aghasyan</w:t>
      </w:r>
      <w:r>
        <w:rPr>
          <w:rStyle w:val="style4101"/>
          <w:rFonts w:eastAsia="Calibri"/>
        </w:rPr>
        <w:t>, 2017)</w:t>
      </w:r>
      <w:r>
        <w:rPr>
          <w:rStyle w:val="style4101"/>
          <w:rFonts w:eastAsia="Calibri"/>
        </w:rPr>
        <w:t xml:space="preserve">. The image below shows the artistic work by </w:t>
      </w:r>
      <w:r>
        <w:rPr>
          <w:rStyle w:val="style4101"/>
          <w:rFonts w:eastAsia="Calibri"/>
        </w:rPr>
        <w:t>Aivazovsky</w:t>
      </w:r>
      <w:r>
        <w:rPr>
          <w:rStyle w:val="style4101"/>
          <w:rFonts w:eastAsia="Calibri"/>
        </w:rPr>
        <w:t>.</w:t>
      </w:r>
    </w:p>
    <w:p>
      <w:pPr>
        <w:pStyle w:val="style0"/>
        <w:spacing w:lineRule="auto" w:line="480"/>
        <w:rPr>
          <w:rFonts w:ascii="Times New Roman" w:cs="Times New Roman" w:eastAsia="Times New Roman" w:hAnsi="Times New Roman"/>
          <w:b/>
          <w:bCs/>
          <w:sz w:val="24"/>
          <w:szCs w:val="24"/>
        </w:rPr>
      </w:pPr>
      <w:r>
        <w:rPr>
          <w:rFonts w:ascii="Times New Roman" w:cs="Times New Roman" w:hAnsi="Times New Roman"/>
          <w:sz w:val="24"/>
          <w:szCs w:val="24"/>
        </w:rPr>
        <w:drawing>
          <wp:inline distL="0" distT="0" distB="0" distR="0">
            <wp:extent cx="5943600" cy="3923030"/>
            <wp:effectExtent l="0" t="0" r="0" b="127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943600" cy="3923030"/>
                    </a:xfrm>
                    <a:prstGeom prst="rect"/>
                  </pic:spPr>
                </pic:pic>
              </a:graphicData>
            </a:graphic>
          </wp:inline>
        </w:drawing>
      </w:r>
    </w:p>
    <w:p>
      <w:pPr>
        <w:pStyle w:val="style0"/>
        <w:spacing w:lineRule="auto" w:line="480"/>
        <w:rPr>
          <w:rFonts w:ascii="Times New Roman" w:cs="Times New Roman" w:eastAsia="Times New Roman" w:hAnsi="Times New Roman"/>
          <w:sz w:val="24"/>
          <w:szCs w:val="24"/>
        </w:rPr>
      </w:pPr>
      <w:r>
        <w:rPr>
          <w:rFonts w:ascii="Times New Roman" w:cs="Times New Roman" w:eastAsia="Times New Roman" w:hAnsi="Times New Roman"/>
          <w:sz w:val="24"/>
          <w:szCs w:val="24"/>
        </w:rPr>
        <w:t>(</w:t>
      </w:r>
      <w:r>
        <w:rPr>
          <w:rFonts w:ascii="Times New Roman" w:cs="Times New Roman" w:eastAsia="Times New Roman" w:hAnsi="Times New Roman"/>
          <w:sz w:val="24"/>
          <w:szCs w:val="24"/>
        </w:rPr>
        <w:t>Glioza</w:t>
      </w:r>
      <w:r>
        <w:rPr>
          <w:rFonts w:ascii="Times New Roman" w:cs="Times New Roman" w:eastAsia="Times New Roman" w:hAnsi="Times New Roman"/>
          <w:sz w:val="24"/>
          <w:szCs w:val="24"/>
        </w:rPr>
        <w:t>, 2017)</w:t>
      </w:r>
    </w:p>
    <w:p>
      <w:pPr>
        <w:pStyle w:val="style0"/>
        <w:spacing w:lineRule="auto" w:line="480"/>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 xml:space="preserve">Characteristics </w:t>
      </w:r>
      <w:r>
        <w:rPr>
          <w:rFonts w:ascii="Times New Roman" w:cs="Times New Roman" w:eastAsia="Times New Roman" w:hAnsi="Times New Roman"/>
          <w:b/>
          <w:bCs/>
          <w:sz w:val="24"/>
          <w:szCs w:val="24"/>
        </w:rPr>
        <w:t>and Meaning of The Painting</w:t>
      </w:r>
    </w:p>
    <w:p>
      <w:pPr>
        <w:pStyle w:val="style0"/>
        <w:spacing w:lineRule="auto" w:line="480"/>
        <w:rPr>
          <w:rStyle w:val="style4101"/>
          <w:rFonts w:eastAsia="Calibri"/>
        </w:rPr>
      </w:pPr>
      <w:r>
        <w:rPr>
          <w:rStyle w:val="style4101"/>
          <w:rFonts w:eastAsia="Calibri"/>
        </w:rPr>
        <w:t>Aivazovsky</w:t>
      </w:r>
      <w:r>
        <w:rPr>
          <w:rStyle w:val="style4101"/>
        </w:rPr>
        <w:t xml:space="preserve"> had typical love with the sea environment with the experience originating from his stay at the Black Sea seaside during his childhood. The power that the sea had </w:t>
      </w:r>
      <w:r>
        <w:rPr>
          <w:rStyle w:val="style4101"/>
        </w:rPr>
        <w:t xml:space="preserve">mesmerized </w:t>
      </w:r>
      <w:r>
        <w:rPr>
          <w:rStyle w:val="style4101"/>
          <w:rFonts w:eastAsia="Calibri"/>
        </w:rPr>
        <w:t>Aivazovsky</w:t>
      </w:r>
      <w:r>
        <w:rPr>
          <w:rStyle w:val="style4101"/>
        </w:rPr>
        <w:t xml:space="preserve"> through his childhood and painting career. This </w:t>
      </w:r>
      <w:r>
        <w:rPr>
          <w:rStyle w:val="style4101"/>
          <w:rFonts w:eastAsia="Calibri"/>
        </w:rPr>
        <w:t>led</w:t>
      </w:r>
      <w:r>
        <w:rPr>
          <w:rStyle w:val="style4101"/>
        </w:rPr>
        <w:t xml:space="preserve"> to his reported courage development even at difficult times</w:t>
      </w:r>
      <w:r>
        <w:rPr>
          <w:rStyle w:val="style4101"/>
        </w:rPr>
        <w:t xml:space="preserve">. The foundation of several paintings of </w:t>
      </w:r>
      <w:r>
        <w:rPr>
          <w:rStyle w:val="style4101"/>
          <w:rFonts w:eastAsia="Calibri"/>
        </w:rPr>
        <w:t>Aivazovsky</w:t>
      </w:r>
      <w:r>
        <w:rPr>
          <w:rStyle w:val="style4101"/>
        </w:rPr>
        <w:t xml:space="preserve"> was from the experience that he had when the ship that they were in got caught by a storm. Every traveler felt dead through the storm till the ship's arrival at the port</w:t>
      </w:r>
      <w:r>
        <w:rPr>
          <w:rStyle w:val="style4101"/>
          <w:rFonts w:eastAsia="Calibri"/>
        </w:rPr>
        <w:t xml:space="preserve">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Glioza</w:t>
      </w:r>
      <w:r>
        <w:rPr>
          <w:rFonts w:ascii="Times New Roman" w:cs="Times New Roman" w:eastAsia="Times New Roman" w:hAnsi="Times New Roman"/>
          <w:sz w:val="24"/>
          <w:szCs w:val="24"/>
        </w:rPr>
        <w:t>, 2017)</w:t>
      </w:r>
      <w:r>
        <w:rPr>
          <w:rStyle w:val="style4101"/>
        </w:rPr>
        <w:t xml:space="preserve">. The classical </w:t>
      </w:r>
      <w:r>
        <w:rPr>
          <w:rStyle w:val="style4101"/>
          <w:rFonts w:eastAsia="Calibri"/>
        </w:rPr>
        <w:t xml:space="preserve">masterpiece arts by </w:t>
      </w:r>
      <w:bookmarkStart w:id="1" w:name="_Hlk55134299"/>
      <w:r>
        <w:rPr>
          <w:rStyle w:val="style4101"/>
          <w:rFonts w:eastAsia="Calibri"/>
        </w:rPr>
        <w:t>Aivazovsky</w:t>
      </w:r>
      <w:r>
        <w:rPr>
          <w:rStyle w:val="style4101"/>
        </w:rPr>
        <w:t xml:space="preserve"> </w:t>
      </w:r>
      <w:bookmarkEnd w:id="1"/>
      <w:r>
        <w:rPr>
          <w:rStyle w:val="style4101"/>
          <w:rFonts w:eastAsia="Calibri"/>
        </w:rPr>
        <w:t>depicted shipwrecks and stiff storms that faced the vessels in the seas. Furthermore, the masterpiece art illustrated how nature was influential to the state of individuals that stayed desperate, lost, and helpless through the storm. Also, it shows how human beings have no strength to control the power of nature.
</w:t>
      </w:r>
    </w:p>
    <w:p>
      <w:pPr>
        <w:pStyle w:val="style0"/>
        <w:spacing w:lineRule="auto" w:line="480"/>
        <w:ind w:firstLine="720"/>
        <w:rPr>
          <w:rFonts w:ascii="Times New Roman" w:cs="Times New Roman" w:eastAsia="Times New Roman" w:hAnsi="Times New Roman"/>
          <w:sz w:val="24"/>
          <w:szCs w:val="24"/>
        </w:rPr>
      </w:pPr>
      <w:r>
        <w:rPr>
          <w:rStyle w:val="style4101"/>
          <w:rFonts w:eastAsia="Calibri"/>
        </w:rPr>
        <w:t xml:space="preserve">The </w:t>
      </w:r>
      <w:r>
        <w:rPr>
          <w:rStyle w:val="style4101"/>
          <w:rFonts w:eastAsia="Calibri"/>
          <w:i/>
          <w:iCs/>
        </w:rPr>
        <w:t>Ninth Wave</w:t>
      </w:r>
      <w:r>
        <w:rPr>
          <w:rStyle w:val="style4101"/>
          <w:rFonts w:eastAsia="Calibri"/>
          <w:i/>
          <w:iCs/>
        </w:rPr>
        <w:t xml:space="preserve"> </w:t>
      </w:r>
      <w:r>
        <w:rPr>
          <w:rStyle w:val="style4101"/>
          <w:rFonts w:eastAsia="Calibri"/>
        </w:rPr>
        <w:t xml:space="preserve">classical masterpiece in </w:t>
      </w:r>
      <w:r>
        <w:rPr>
          <w:rStyle w:val="style4101"/>
          <w:rFonts w:eastAsia="Calibri"/>
        </w:rPr>
        <w:t>1850</w:t>
      </w:r>
      <w:r>
        <w:rPr>
          <w:rStyle w:val="style4101"/>
          <w:rFonts w:eastAsia="Calibri"/>
        </w:rPr>
        <w:t xml:space="preserve"> showed a different view by </w:t>
      </w:r>
      <w:r>
        <w:rPr>
          <w:rStyle w:val="style4101"/>
          <w:rFonts w:eastAsia="Calibri"/>
        </w:rPr>
        <w:t>Aivazovsky</w:t>
      </w:r>
      <w:r>
        <w:rPr>
          <w:rStyle w:val="style4101"/>
          <w:rFonts w:eastAsia="Calibri"/>
        </w:rPr>
        <w:t xml:space="preserve"> on the power of nature. The piece of art displayed in figure one above shows some individuals who survived a shipwreck. There is an observable approaching 'ninth' massive wave appearing </w:t>
      </w:r>
      <w:r>
        <w:rPr>
          <w:rStyle w:val="style4101"/>
          <w:rFonts w:eastAsia="Calibri"/>
        </w:rPr>
        <w:t>the individuals</w:t>
      </w:r>
      <w:r>
        <w:rPr>
          <w:rStyle w:val="style4101"/>
          <w:rFonts w:eastAsia="Calibri"/>
        </w:rPr>
        <w:t>.</w:t>
      </w:r>
      <w:r>
        <w:rPr>
          <w:rStyle w:val="style4101"/>
          <w:rFonts w:eastAsia="Calibri"/>
        </w:rPr>
        <w:t xml:space="preserve"> Several legends state that the 'ninth wave' is dangerous and </w:t>
      </w:r>
      <w:r>
        <w:rPr>
          <w:rFonts w:ascii="Times New Roman" w:cs="Times New Roman" w:hAnsi="Times New Roman"/>
          <w:sz w:val="24"/>
          <w:szCs w:val="24"/>
        </w:rPr>
        <w:t>most substantial (</w:t>
      </w:r>
      <w:r>
        <w:rPr>
          <w:rStyle w:val="style4101"/>
          <w:rFonts w:eastAsia="Calibri"/>
        </w:rPr>
        <w:t>Aghasyan</w:t>
      </w:r>
      <w:r>
        <w:rPr>
          <w:rStyle w:val="style4101"/>
          <w:rFonts w:eastAsia="Calibri"/>
        </w:rPr>
        <w:t xml:space="preserve">, 2017). </w:t>
      </w:r>
      <w:r>
        <w:rPr>
          <w:rStyle w:val="style4101"/>
          <w:rFonts w:eastAsia="Calibri"/>
        </w:rPr>
        <w:t xml:space="preserve">The individuals in the picture seem to hold on to a piece of mast. The name </w:t>
      </w:r>
      <w:r>
        <w:rPr>
          <w:rStyle w:val="style4101"/>
          <w:rFonts w:eastAsia="Calibri"/>
          <w:i/>
          <w:iCs/>
        </w:rPr>
        <w:t>Ninth Wave</w:t>
      </w:r>
      <w:r>
        <w:rPr>
          <w:rStyle w:val="style4101"/>
          <w:rFonts w:eastAsia="Calibri"/>
        </w:rPr>
        <w:t xml:space="preserve"> is a dramatic name used for the painting. Also, the palette painting color and the atmosphere are optimistic. There is a visualization of sunrise upon the sea. The survivors have hope with the visualization of the dawn since the storm is almost over. The fame of </w:t>
      </w:r>
      <w:r>
        <w:rPr>
          <w:rStyle w:val="style4101"/>
          <w:rFonts w:eastAsia="Calibri"/>
        </w:rPr>
        <w:t>Aivazovsky</w:t>
      </w:r>
      <w:r>
        <w:rPr>
          <w:rStyle w:val="style4101"/>
        </w:rPr>
        <w:t xml:space="preserve"> has been gained by these notional disparity paintings </w:t>
      </w:r>
      <w:r>
        <w:rPr>
          <w:rStyle w:val="style4101"/>
          <w:rFonts w:eastAsia="Calibri"/>
        </w:rPr>
        <w:t xml:space="preserve">associated </w:t>
      </w:r>
      <w:r>
        <w:rPr>
          <w:rStyle w:val="style4101"/>
        </w:rPr>
        <w:t xml:space="preserve">with the </w:t>
      </w:r>
      <w:r>
        <w:rPr>
          <w:rStyle w:val="style4101"/>
          <w:rFonts w:eastAsia="Calibri"/>
          <w:i/>
          <w:iCs/>
        </w:rPr>
        <w:t xml:space="preserve">Ninth Wave </w:t>
      </w:r>
      <w:r>
        <w:rPr>
          <w:rStyle w:val="style4101"/>
          <w:rFonts w:eastAsia="Calibri"/>
        </w:rPr>
        <w:t>classical masterpiece</w:t>
      </w:r>
      <w:r>
        <w:rPr>
          <w:rStyle w:val="style4101"/>
          <w:rFonts w:eastAsia="Calibri"/>
        </w:rPr>
        <w:t xml:space="preserve"> being exhibited in the </w:t>
      </w:r>
      <w:r>
        <w:rPr>
          <w:rStyle w:val="style4101"/>
          <w:rFonts w:eastAsia="Calibri"/>
        </w:rPr>
        <w:t>Russian museum</w:t>
      </w:r>
      <w:r>
        <w:rPr>
          <w:rStyle w:val="style4101"/>
          <w:rFonts w:eastAsia="Calibri"/>
        </w:rPr>
        <w:t>.</w:t>
      </w:r>
    </w:p>
    <w:p>
      <w:pPr>
        <w:pStyle w:val="style0"/>
        <w:rPr>
          <w:rFonts w:ascii="Times New Roman" w:cs="Times New Roman" w:eastAsia="Times New Roman" w:hAnsi="Times New Roman"/>
          <w:sz w:val="24"/>
          <w:szCs w:val="24"/>
        </w:rPr>
      </w:pPr>
      <w:r>
        <w:rPr>
          <w:rFonts w:ascii="Times New Roman" w:cs="Times New Roman" w:eastAsia="Times New Roman" w:hAnsi="Times New Roman"/>
          <w:sz w:val="24"/>
          <w:szCs w:val="24"/>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Aghasyan</w:t>
      </w:r>
      <w:r>
        <w:rPr>
          <w:rFonts w:ascii="Times New Roman" w:cs="Times New Roman" w:eastAsia="Times New Roman" w:hAnsi="Times New Roman"/>
          <w:sz w:val="24"/>
          <w:szCs w:val="24"/>
        </w:rPr>
        <w:t>, А. (2017). Enchanted by the Sea: Ivan (</w:t>
      </w:r>
      <w:r>
        <w:rPr>
          <w:rFonts w:ascii="Times New Roman" w:cs="Times New Roman" w:eastAsia="Times New Roman" w:hAnsi="Times New Roman"/>
          <w:sz w:val="24"/>
          <w:szCs w:val="24"/>
        </w:rPr>
        <w:t>Hovhannes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Aivazovsky</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Բանբեր</w:t>
      </w:r>
      <w:r>
        <w:rPr>
          <w:rFonts w:ascii="Times New Roman" w:cs="Times New Roman" w:eastAsia="Times New Roman" w:hAnsi="Times New Roman"/>
          <w:i/>
          <w:iCs/>
          <w:sz w:val="24"/>
          <w:szCs w:val="24"/>
        </w:rPr>
        <w:t xml:space="preserve"> </w:t>
      </w:r>
      <w:r>
        <w:rPr>
          <w:rFonts w:ascii="Times New Roman" w:cs="Times New Roman" w:eastAsia="Times New Roman" w:hAnsi="Times New Roman"/>
          <w:i/>
          <w:iCs/>
          <w:sz w:val="24"/>
          <w:szCs w:val="24"/>
        </w:rPr>
        <w:t>Հայագիտության</w:t>
      </w:r>
      <w:r>
        <w:rPr>
          <w:rFonts w:ascii="Times New Roman" w:cs="Times New Roman" w:eastAsia="Times New Roman" w:hAnsi="Times New Roman"/>
          <w:i/>
          <w:iCs/>
          <w:sz w:val="24"/>
          <w:szCs w:val="24"/>
        </w:rPr>
        <w:t xml:space="preserve">= </w:t>
      </w:r>
      <w:r>
        <w:rPr>
          <w:rFonts w:ascii="Times New Roman" w:cs="Times New Roman" w:eastAsia="Times New Roman" w:hAnsi="Times New Roman"/>
          <w:i/>
          <w:iCs/>
          <w:sz w:val="24"/>
          <w:szCs w:val="24"/>
        </w:rPr>
        <w:t>Вестник</w:t>
      </w:r>
      <w:r>
        <w:rPr>
          <w:rFonts w:ascii="Times New Roman" w:cs="Times New Roman" w:eastAsia="Times New Roman" w:hAnsi="Times New Roman"/>
          <w:i/>
          <w:iCs/>
          <w:sz w:val="24"/>
          <w:szCs w:val="24"/>
        </w:rPr>
        <w:t xml:space="preserve"> </w:t>
      </w:r>
      <w:r>
        <w:rPr>
          <w:rFonts w:ascii="Times New Roman" w:cs="Times New Roman" w:eastAsia="Times New Roman" w:hAnsi="Times New Roman"/>
          <w:i/>
          <w:iCs/>
          <w:sz w:val="24"/>
          <w:szCs w:val="24"/>
        </w:rPr>
        <w:t>Арменоведения</w:t>
      </w:r>
      <w:r>
        <w:rPr>
          <w:rFonts w:ascii="Times New Roman" w:cs="Times New Roman" w:eastAsia="Times New Roman" w:hAnsi="Times New Roman"/>
          <w:i/>
          <w:iCs/>
          <w:sz w:val="24"/>
          <w:szCs w:val="24"/>
        </w:rPr>
        <w:t>= Journal of Armenian Studies</w:t>
      </w:r>
      <w:r>
        <w:rPr>
          <w:rFonts w:ascii="Times New Roman" w:cs="Times New Roman" w:eastAsia="Times New Roman" w:hAnsi="Times New Roman"/>
          <w:sz w:val="24"/>
          <w:szCs w:val="24"/>
        </w:rPr>
        <w:t>, </w:t>
      </w:r>
      <w:r>
        <w:rPr>
          <w:rFonts w:ascii="Times New Roman" w:cs="Times New Roman" w:eastAsia="Times New Roman" w:hAnsi="Times New Roman"/>
          <w:i/>
          <w:iCs/>
          <w:sz w:val="24"/>
          <w:szCs w:val="24"/>
        </w:rPr>
        <w:t>2</w:t>
      </w:r>
      <w:r>
        <w:rPr>
          <w:rFonts w:ascii="Times New Roman" w:cs="Times New Roman" w:eastAsia="Times New Roman" w:hAnsi="Times New Roman"/>
          <w:sz w:val="24"/>
          <w:szCs w:val="24"/>
        </w:rPr>
        <w:t>, 121-139.</w:t>
      </w:r>
    </w:p>
    <w:p>
      <w:pPr>
        <w:pStyle w:val="style0"/>
        <w:shd w:val="clear" w:color="auto" w:fill="ffffff"/>
        <w:spacing w:after="0" w:lineRule="auto" w:line="480"/>
        <w:ind w:left="720" w:right="75"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Glioza</w:t>
      </w:r>
      <w:r>
        <w:rPr>
          <w:rFonts w:ascii="Times New Roman" w:cs="Times New Roman" w:eastAsia="Times New Roman" w:hAnsi="Times New Roman"/>
          <w:sz w:val="24"/>
          <w:szCs w:val="24"/>
        </w:rPr>
        <w:t xml:space="preserve">, O. (2017, December 24). A brief history of the 'Ninth wave.' Retrieved from </w:t>
      </w:r>
      <w:r>
        <w:rPr/>
        <w:fldChar w:fldCharType="begin"/>
      </w:r>
      <w:r>
        <w:instrText xml:space="preserve"> HYPERLINK "https://theculturetrip.com/europe/russia/articles/a-brief-history-of-the-ninth-wave/" </w:instrText>
      </w:r>
      <w:r>
        <w:rPr/>
        <w:fldChar w:fldCharType="separate"/>
      </w:r>
      <w:r>
        <w:rPr>
          <w:rStyle w:val="style85"/>
          <w:rFonts w:ascii="Times New Roman" w:cs="Times New Roman" w:eastAsia="Times New Roman" w:hAnsi="Times New Roman"/>
          <w:color w:val="auto"/>
          <w:sz w:val="24"/>
          <w:szCs w:val="24"/>
        </w:rPr>
        <w:t>https://theculturetrip.com/europe/russia/articles/a-brief-history-of-the-ninth-wave/</w:t>
      </w:r>
      <w:r>
        <w:rPr/>
        <w:fldChar w:fldCharType="end"/>
      </w: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THE NINTH WAVE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Style w:val="style4101"/>
        <w:rFonts w:eastAsia="Calibri"/>
      </w:rPr>
    </w:pPr>
    <w:r>
      <w:rPr>
        <w:rFonts w:ascii="Arial" w:cs="Arial" w:hAnsi="Arial"/>
      </w:rPr>
      <w:fldChar w:fldCharType="begin"/>
    </w:r>
    <w:r>
      <w:rPr>
        <w:rFonts w:ascii="Arial" w:cs="Arial" w:hAnsi="Arial"/>
      </w:rPr>
      <w:instrText xml:space="preserve"> PAGE   \* MERGEFORMAT </w:instrText>
    </w:r>
    <w:r>
      <w:rPr>
        <w:rFonts w:ascii="Arial" w:cs="Arial" w:hAnsi="Arial"/>
      </w:rPr>
      <w:fldChar w:fldCharType="separate"/>
    </w:r>
    <w:r>
      <w:rPr>
        <w:rFonts w:ascii="Arial" w:cs="Arial" w:hAnsi="Arial"/>
        <w:noProof/>
      </w:rPr>
      <w:t>2</w:t>
    </w:r>
    <w:r>
      <w:rPr>
        <w:rFonts w:ascii="Arial" w:cs="Arial" w:hAnsi="Arial"/>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cs="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cs="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cs="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BB3EEDC0"/>
    <w:lvl w:ilvl="0">
      <w:start w:val="0"/>
      <w:numFmt w:val="bullet"/>
      <w:lvlText w:val="•"/>
      <w:lvlJc w:val="left"/>
      <w:pPr>
        <w:ind w:left="720" w:hanging="360"/>
      </w:pPr>
      <w:rPr>
        <w:rFonts w:ascii="Times New Roman" w:cs="Times New Roman" w:eastAsia="Calibri" w:hAnsi="Times New Roman"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00000003"/>
    <w:multiLevelType w:val="multilevel"/>
    <w:tmpl w:val="FC3C127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hybridMultilevel"/>
    <w:tmpl w:val="16FE5D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0000005"/>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0000006"/>
    <w:multiLevelType w:val="multilevel"/>
    <w:tmpl w:val="F9BE7A6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abstractNum w:abstractNumId="7">
    <w:nsid w:val="00000007"/>
    <w:multiLevelType w:val="hybridMultilevel"/>
    <w:tmpl w:val="A314CA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nsid w:val="00000008"/>
    <w:multiLevelType w:val="multilevel"/>
    <w:tmpl w:val="AFE216A0"/>
    <w:lvl w:ilvl="0">
      <w:start w:val="1"/>
      <w:numFmt w:val="bullet"/>
      <w:lvlText w:val=""/>
      <w:lvlJc w:val="left"/>
      <w:pPr>
        <w:tabs>
          <w:tab w:val="left" w:leader="none" w:pos="360"/>
        </w:tabs>
        <w:ind w:left="360" w:hanging="360"/>
      </w:pPr>
      <w:rPr>
        <w:rFonts w:ascii="Symbol" w:hAnsi="Symbol" w:hint="default"/>
        <w:sz w:val="20"/>
      </w:rPr>
    </w:lvl>
    <w:lvl w:ilvl="1">
      <w:start w:val="1"/>
      <w:numFmt w:val="bullet"/>
      <w:lvlText w:val=""/>
      <w:lvlJc w:val="left"/>
      <w:pPr>
        <w:tabs>
          <w:tab w:val="left" w:leader="none" w:pos="1440"/>
        </w:tabs>
        <w:ind w:left="1440" w:hanging="360"/>
      </w:pPr>
      <w:rPr>
        <w:rFonts w:ascii="Symbol" w:hAnsi="Symbol" w:hint="default"/>
        <w:sz w:val="20"/>
      </w:rPr>
    </w:lvl>
    <w:lvl w:ilvl="2">
      <w:start w:val="1"/>
      <w:numFmt w:val="bullet"/>
      <w:lvlText w:val=""/>
      <w:lvlJc w:val="left"/>
      <w:pPr>
        <w:tabs>
          <w:tab w:val="left" w:leader="none" w:pos="2160"/>
        </w:tabs>
        <w:ind w:left="2160" w:hanging="360"/>
      </w:pPr>
      <w:rPr>
        <w:rFonts w:ascii="Symbol" w:hAnsi="Symbol" w:hint="default"/>
        <w:sz w:val="20"/>
      </w:rPr>
    </w:lvl>
    <w:lvl w:ilvl="3">
      <w:start w:val="1"/>
      <w:numFmt w:val="bullet"/>
      <w:lvlText w:val=""/>
      <w:lvlJc w:val="left"/>
      <w:pPr>
        <w:tabs>
          <w:tab w:val="left" w:leader="none" w:pos="2880"/>
        </w:tabs>
        <w:ind w:left="2880" w:hanging="360"/>
      </w:pPr>
      <w:rPr>
        <w:rFonts w:ascii="Symbol" w:hAnsi="Symbol" w:hint="default"/>
        <w:sz w:val="20"/>
      </w:rPr>
    </w:lvl>
    <w:lvl w:ilvl="4">
      <w:start w:val="1"/>
      <w:numFmt w:val="bullet"/>
      <w:lvlText w:val=""/>
      <w:lvlJc w:val="left"/>
      <w:pPr>
        <w:tabs>
          <w:tab w:val="left" w:leader="none" w:pos="3600"/>
        </w:tabs>
        <w:ind w:left="3600" w:hanging="360"/>
      </w:pPr>
      <w:rPr>
        <w:rFonts w:ascii="Symbol" w:hAnsi="Symbol" w:hint="default"/>
        <w:sz w:val="20"/>
      </w:rPr>
    </w:lvl>
    <w:lvl w:ilvl="5">
      <w:start w:val="1"/>
      <w:numFmt w:val="bullet"/>
      <w:lvlText w:val=""/>
      <w:lvlJc w:val="left"/>
      <w:pPr>
        <w:tabs>
          <w:tab w:val="left" w:leader="none" w:pos="4320"/>
        </w:tabs>
        <w:ind w:left="4320" w:hanging="360"/>
      </w:pPr>
      <w:rPr>
        <w:rFonts w:ascii="Symbol" w:hAnsi="Symbol" w:hint="default"/>
        <w:sz w:val="20"/>
      </w:rPr>
    </w:lvl>
    <w:lvl w:ilvl="6">
      <w:start w:val="1"/>
      <w:numFmt w:val="bullet"/>
      <w:lvlText w:val=""/>
      <w:lvlJc w:val="left"/>
      <w:pPr>
        <w:tabs>
          <w:tab w:val="left" w:leader="none" w:pos="5040"/>
        </w:tabs>
        <w:ind w:left="5040" w:hanging="360"/>
      </w:pPr>
      <w:rPr>
        <w:rFonts w:ascii="Symbol" w:hAnsi="Symbol" w:hint="default"/>
        <w:sz w:val="20"/>
      </w:rPr>
    </w:lvl>
    <w:lvl w:ilvl="7">
      <w:start w:val="1"/>
      <w:numFmt w:val="bullet"/>
      <w:lvlText w:val=""/>
      <w:lvlJc w:val="left"/>
      <w:pPr>
        <w:tabs>
          <w:tab w:val="left" w:leader="none" w:pos="5760"/>
        </w:tabs>
        <w:ind w:left="5760" w:hanging="360"/>
      </w:pPr>
      <w:rPr>
        <w:rFonts w:ascii="Symbol" w:hAnsi="Symbol" w:hint="default"/>
        <w:sz w:val="20"/>
      </w:rPr>
    </w:lvl>
    <w:lvl w:ilvl="8">
      <w:start w:val="1"/>
      <w:numFmt w:val="bullet"/>
      <w:lvlText w:val=""/>
      <w:lvlJc w:val="left"/>
      <w:pPr>
        <w:tabs>
          <w:tab w:val="left" w:leader="none" w:pos="6480"/>
        </w:tabs>
        <w:ind w:left="6480" w:hanging="360"/>
      </w:pPr>
      <w:rPr>
        <w:rFonts w:ascii="Symbol" w:hAnsi="Symbol" w:hint="default"/>
        <w:sz w:val="20"/>
      </w:rPr>
    </w:lvl>
  </w:abstractNum>
  <w:num w:numId="1">
    <w:abstractNumId w:val="5"/>
  </w:num>
  <w:num w:numId="2">
    <w:abstractNumId w:val="2"/>
  </w:num>
  <w:num w:numId="3">
    <w:abstractNumId w:val="0"/>
  </w:num>
  <w:num w:numId="4">
    <w:abstractNumId w:val="7"/>
  </w:num>
  <w:num w:numId="5">
    <w:abstractNumId w:val="1"/>
  </w:num>
  <w:num w:numId="6">
    <w:abstractNumId w:val="4"/>
  </w:num>
  <w:num w:numId="7">
    <w:abstractNumId w:val="3"/>
  </w:num>
  <w:num w:numId="8">
    <w:abstractNumId w:val="8"/>
  </w:num>
  <w:num w:numId="9">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c975523-f447-4fb2-9f81-195f08ffe40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e50e085-bba3-4436-b37a-d24444a07f39"/>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563c1"/>
      <w:u w:val="single"/>
    </w:rPr>
  </w:style>
  <w:style w:type="character" w:customStyle="1" w:styleId="style4099">
    <w:name w:val="Unresolved Mention1"/>
    <w:basedOn w:val="style65"/>
    <w:next w:val="style4099"/>
    <w:uiPriority w:val="99"/>
    <w:rPr>
      <w:color w:val="605e5c"/>
      <w:shd w:val="clear" w:color="auto" w:fill="e1dfdd"/>
    </w:rPr>
  </w:style>
  <w:style w:type="paragraph" w:styleId="style94">
    <w:name w:val="Normal (Web)"/>
    <w:basedOn w:val="style0"/>
    <w:next w:val="style94"/>
    <w:link w:val="style4101"/>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0">
    <w:name w:val="Unresolved Mention2"/>
    <w:basedOn w:val="style65"/>
    <w:next w:val="style4100"/>
    <w:uiPriority w:val="99"/>
    <w:rPr>
      <w:color w:val="605e5c"/>
      <w:shd w:val="clear" w:color="auto" w:fill="e1dfdd"/>
    </w:rPr>
  </w:style>
  <w:style w:type="character" w:customStyle="1" w:styleId="style4101">
    <w:name w:val="Normal (Web) Char"/>
    <w:basedOn w:val="style65"/>
    <w:next w:val="style4101"/>
    <w:link w:val="style94"/>
    <w:uiPriority w:val="99"/>
    <w:rPr>
      <w:rFonts w:ascii="Times New Roman" w:cs="Times New Roman" w:eastAsia="Times New Roman" w:hAnsi="Times New Roman"/>
      <w:sz w:val="24"/>
      <w:szCs w:val="24"/>
    </w:rPr>
  </w:style>
  <w:style w:type="character" w:customStyle="1" w:styleId="style4102">
    <w:name w:val="Unresolved Mention3"/>
    <w:basedOn w:val="style65"/>
    <w:next w:val="style4102"/>
    <w:uiPriority w:val="99"/>
    <w:rPr>
      <w:color w:val="605e5c"/>
      <w:shd w:val="clear" w:color="auto" w:fill="e1dfdd"/>
    </w:rPr>
  </w:style>
  <w:style w:type="character" w:customStyle="1" w:styleId="style4103">
    <w:name w:val="Unresolved Mention4"/>
    <w:basedOn w:val="style65"/>
    <w:next w:val="style4103"/>
    <w:uiPriority w:val="99"/>
    <w:rPr>
      <w:color w:val="605e5c"/>
      <w:shd w:val="clear" w:color="auto" w:fill="e1dfdd"/>
    </w:rPr>
  </w:style>
  <w:style w:type="character" w:customStyle="1" w:styleId="style4104">
    <w:name w:val="Unresolved Mention5"/>
    <w:basedOn w:val="style65"/>
    <w:next w:val="style4104"/>
    <w:uiPriority w:val="99"/>
    <w:rPr>
      <w:color w:val="605e5c"/>
      <w:shd w:val="clear" w:color="auto" w:fill="e1dfdd"/>
    </w:rPr>
  </w:style>
  <w:style w:type="character" w:customStyle="1" w:styleId="style4105">
    <w:name w:val="Unresolved Mention"/>
    <w:basedOn w:val="style65"/>
    <w:next w:val="style4105"/>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417</Words>
  <Pages>4</Pages>
  <Characters>2283</Characters>
  <Application>WPS Office</Application>
  <DocSecurity>0</DocSecurity>
  <Paragraphs>29</Paragraphs>
  <ScaleCrop>false</ScaleCrop>
  <LinksUpToDate>false</LinksUpToDate>
  <CharactersWithSpaces>2684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2020-11-01T12:04:58Z</dcterms:created>
  <dc:creator>WPS Office</dc:creator>
  <lastModifiedBy>Infinix X650D</lastModifiedBy>
  <dcterms:modified xsi:type="dcterms:W3CDTF">2020-11-01T12:04:58Z</dcterms:modified>
  <revision>1</revision>
</coreProperties>
</file>

<file path=docProps/custom.xml><?xml version="1.0" encoding="utf-8"?>
<Properties xmlns="http://schemas.openxmlformats.org/officeDocument/2006/custom-properties" xmlns:vt="http://schemas.openxmlformats.org/officeDocument/2006/docPropsVTypes"/>
</file>